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B92CE" w14:textId="67A1014D" w:rsidR="00186EA5" w:rsidRDefault="00186EA5">
      <w:pPr>
        <w:spacing w:after="0" w:line="259" w:lineRule="auto"/>
        <w:ind w:left="0" w:firstLine="0"/>
        <w:jc w:val="left"/>
      </w:pPr>
    </w:p>
    <w:p w14:paraId="3B9BA6A7" w14:textId="77777777" w:rsidR="00186EA5" w:rsidRDefault="002935C2">
      <w:pPr>
        <w:spacing w:after="0" w:line="259" w:lineRule="auto"/>
        <w:ind w:left="0" w:firstLine="0"/>
        <w:jc w:val="left"/>
      </w:pPr>
      <w:r>
        <w:t xml:space="preserve"> </w:t>
      </w:r>
    </w:p>
    <w:p w14:paraId="5D5528E3" w14:textId="0175A179" w:rsidR="00186EA5" w:rsidRDefault="00186EA5">
      <w:pPr>
        <w:spacing w:after="1452" w:line="259" w:lineRule="auto"/>
        <w:ind w:left="0" w:firstLine="0"/>
        <w:jc w:val="left"/>
      </w:pPr>
    </w:p>
    <w:p w14:paraId="270E6C9A" w14:textId="77C37C02" w:rsidR="00186EA5" w:rsidRDefault="00C9169E">
      <w:pPr>
        <w:spacing w:after="616" w:line="260" w:lineRule="auto"/>
        <w:ind w:left="0" w:right="3683" w:firstLine="0"/>
        <w:jc w:val="left"/>
      </w:pPr>
      <w:r>
        <w:rPr>
          <w:b/>
        </w:rPr>
        <w:t>Avalik k</w:t>
      </w:r>
      <w:r w:rsidR="002935C2">
        <w:rPr>
          <w:b/>
        </w:rPr>
        <w:t xml:space="preserve">onsultatsioon gaasi ülekandesüsteemi asjakohaste võrgupunktide määramiseks </w:t>
      </w:r>
    </w:p>
    <w:p w14:paraId="6F690524" w14:textId="21794899" w:rsidR="00186EA5" w:rsidRDefault="002935C2">
      <w:pPr>
        <w:spacing w:after="446"/>
        <w:ind w:left="-5"/>
      </w:pPr>
      <w:r>
        <w:t xml:space="preserve">Lugupeetud </w:t>
      </w:r>
      <w:r w:rsidR="001C39B5">
        <w:t>turuosaline</w:t>
      </w:r>
    </w:p>
    <w:p w14:paraId="579EDBB8" w14:textId="2BE91C2A" w:rsidR="005523C1" w:rsidRDefault="005523C1" w:rsidP="005523C1">
      <w:pPr>
        <w:ind w:left="0" w:firstLine="0"/>
      </w:pPr>
      <w:r>
        <w:t xml:space="preserve">Konkurentsiamet sai Elering AS-ilt taotluse seoses Eesti gaasi asjakohaste võrgupunktide määratluse muutmiseks. </w:t>
      </w:r>
      <w:r w:rsidR="00450F78" w:rsidRPr="00450F78">
        <w:t>Käesoleval ajal kehtivad Konkurentsiameti 05.12.2019 otsusega nr 7-29/2019-002 kooskõlastatud võrgupunktid.</w:t>
      </w:r>
    </w:p>
    <w:p w14:paraId="116A505D" w14:textId="77777777" w:rsidR="005523C1" w:rsidRDefault="005523C1" w:rsidP="005523C1">
      <w:pPr>
        <w:ind w:left="0" w:firstLine="0"/>
      </w:pPr>
    </w:p>
    <w:p w14:paraId="1961F921" w14:textId="71FA9194" w:rsidR="00C9169E" w:rsidRDefault="00C9169E" w:rsidP="004C5287">
      <w:pPr>
        <w:ind w:left="0" w:firstLine="0"/>
      </w:pPr>
      <w:r w:rsidRPr="00C9169E">
        <w:t>Euroopa Parlamendi ja Nõukogu määruse (EÜ) nr 715/2009</w:t>
      </w:r>
      <w:r>
        <w:t xml:space="preserve"> ja Määruse lisa 1 (edaspidi Suunised) punkt 3 sätestavad võrgu kasutajate jaoks süsteemile tõhusa juurdepääsu saamiseks vajalike tehniliste andmete määratluse, kõigi läbipaistvusnõuete seisukohast asjakohaste punktide määratluse ja teabe, mis tuleb avaldada kõigi asjakohaste punktide kohta, ning ajakava, mille kohaselt kõnealune teave tuleb avaldada.</w:t>
      </w:r>
    </w:p>
    <w:p w14:paraId="0717B6E4" w14:textId="5E9F26D3" w:rsidR="00C9169E" w:rsidRDefault="00C9169E" w:rsidP="00C9169E">
      <w:pPr>
        <w:ind w:left="-5"/>
      </w:pPr>
      <w:r>
        <w:t>Määruse artikli 18 lg 4 kohaselt peab pädevad asutused pärast võrgu kasutajatega konsulteerimist heaks kiitma ülekandesüsteemi asjaomased punktid, mille kohta tuleb teavet avaldada</w:t>
      </w:r>
    </w:p>
    <w:p w14:paraId="3BC8C13F" w14:textId="77777777" w:rsidR="002935C2" w:rsidRDefault="002935C2" w:rsidP="002935C2">
      <w:pPr>
        <w:spacing w:after="0" w:line="259" w:lineRule="auto"/>
        <w:ind w:left="0" w:firstLine="0"/>
      </w:pPr>
    </w:p>
    <w:p w14:paraId="72AB4B69" w14:textId="63435439" w:rsidR="005523C1" w:rsidRDefault="005523C1" w:rsidP="002935C2">
      <w:pPr>
        <w:spacing w:after="0" w:line="259" w:lineRule="auto"/>
        <w:ind w:left="0" w:firstLine="0"/>
      </w:pPr>
      <w:r>
        <w:t xml:space="preserve">Elering on </w:t>
      </w:r>
      <w:r w:rsidR="00941421">
        <w:t xml:space="preserve">oma </w:t>
      </w:r>
      <w:r>
        <w:t xml:space="preserve">taotluses välja toonud järgnevad muudatuste vajadused </w:t>
      </w:r>
      <w:r w:rsidR="00941421">
        <w:t xml:space="preserve">hetkel kehtivate </w:t>
      </w:r>
      <w:r>
        <w:t xml:space="preserve">võrgupunktide osas: </w:t>
      </w:r>
    </w:p>
    <w:p w14:paraId="33B5E66F" w14:textId="46EF415D" w:rsidR="00450F78" w:rsidRDefault="00450F78" w:rsidP="00450F78">
      <w:pPr>
        <w:spacing w:after="0" w:line="259" w:lineRule="auto"/>
        <w:ind w:left="0" w:firstLine="0"/>
      </w:pPr>
      <w:r>
        <w:t>1.</w:t>
      </w:r>
      <w:r>
        <w:tab/>
        <w:t>Värska ja Narva sisse- ja väljavoolupunktide eemaldamine võttes arvesse maagaasivõrgu tehnilisi piiranguid ning Vabariigi Valitsuse 29.09.2022 otsus nr 93, millega keelatakse importida ja osta Venemaa Föderatsioonist maagaasi. Gaasi müük ja transiit Venemaa Föderatsioonist saab toimuda Luhamaa sisse- ja väljavoolupunkti kaudu.</w:t>
      </w:r>
    </w:p>
    <w:p w14:paraId="63FBC30A" w14:textId="2BBD5C32" w:rsidR="00186EA5" w:rsidRDefault="00450F78" w:rsidP="00450F78">
      <w:pPr>
        <w:spacing w:after="0" w:line="259" w:lineRule="auto"/>
        <w:ind w:left="0" w:firstLine="0"/>
      </w:pPr>
      <w:r>
        <w:t>2.</w:t>
      </w:r>
      <w:r>
        <w:tab/>
        <w:t>Lisada Pakrineeme sissevoolupunkt, eeldusel, et punkt on asjaomane punkt vaid kehtiva LNG terminali liitumislepingu või TSO-FSRU lepingu olemasolul</w:t>
      </w:r>
      <w:r w:rsidR="00941421">
        <w:t>.</w:t>
      </w:r>
    </w:p>
    <w:p w14:paraId="596FF414" w14:textId="77777777" w:rsidR="00A51F6B" w:rsidRDefault="00A51F6B" w:rsidP="002935C2">
      <w:pPr>
        <w:spacing w:after="0" w:line="259" w:lineRule="auto"/>
        <w:ind w:left="0" w:firstLine="0"/>
      </w:pPr>
    </w:p>
    <w:p w14:paraId="6EE5B8DB" w14:textId="510F2C88" w:rsidR="000717DA" w:rsidRDefault="00A51F6B" w:rsidP="002935C2">
      <w:pPr>
        <w:spacing w:after="0" w:line="259" w:lineRule="auto"/>
        <w:ind w:left="0" w:firstLine="0"/>
        <w:rPr>
          <w:szCs w:val="24"/>
        </w:rPr>
      </w:pPr>
      <w:r>
        <w:t>Eeltoodust tulenevalt on esitanud Elering</w:t>
      </w:r>
      <w:r w:rsidR="00AE18FC">
        <w:t xml:space="preserve"> AS</w:t>
      </w:r>
      <w:r>
        <w:t xml:space="preserve"> Konkurentsiametile järgnevad võrgupunktid kooskõlastamiseks:</w:t>
      </w:r>
    </w:p>
    <w:p w14:paraId="4DB775A0" w14:textId="77777777" w:rsidR="000717DA" w:rsidRPr="000717DA" w:rsidRDefault="000717DA" w:rsidP="000717DA">
      <w:pPr>
        <w:numPr>
          <w:ilvl w:val="0"/>
          <w:numId w:val="4"/>
        </w:numPr>
        <w:spacing w:after="0" w:line="259" w:lineRule="auto"/>
      </w:pPr>
      <w:r w:rsidRPr="000717DA">
        <w:t>Balticconnector sissevoolupunkt</w:t>
      </w:r>
    </w:p>
    <w:p w14:paraId="12286141" w14:textId="77777777" w:rsidR="000717DA" w:rsidRPr="000717DA" w:rsidRDefault="000717DA" w:rsidP="000717DA">
      <w:pPr>
        <w:numPr>
          <w:ilvl w:val="0"/>
          <w:numId w:val="4"/>
        </w:numPr>
        <w:spacing w:after="0" w:line="259" w:lineRule="auto"/>
      </w:pPr>
      <w:r w:rsidRPr="000717DA">
        <w:t>Balticconnector väljavoolupunkt</w:t>
      </w:r>
    </w:p>
    <w:p w14:paraId="3227C432" w14:textId="77777777" w:rsidR="000717DA" w:rsidRPr="000717DA" w:rsidRDefault="000717DA" w:rsidP="000717DA">
      <w:pPr>
        <w:numPr>
          <w:ilvl w:val="0"/>
          <w:numId w:val="4"/>
        </w:numPr>
        <w:spacing w:after="0" w:line="259" w:lineRule="auto"/>
      </w:pPr>
      <w:r w:rsidRPr="000717DA">
        <w:t>Luhamaa sissevoolupunkt</w:t>
      </w:r>
    </w:p>
    <w:p w14:paraId="3A9E73E0" w14:textId="77777777" w:rsidR="000717DA" w:rsidRPr="000717DA" w:rsidRDefault="000717DA" w:rsidP="000717DA">
      <w:pPr>
        <w:numPr>
          <w:ilvl w:val="0"/>
          <w:numId w:val="4"/>
        </w:numPr>
        <w:spacing w:after="0" w:line="259" w:lineRule="auto"/>
      </w:pPr>
      <w:r w:rsidRPr="000717DA">
        <w:t>Luhamaa väljavoolupunkt</w:t>
      </w:r>
    </w:p>
    <w:p w14:paraId="6BD03DAD" w14:textId="77777777" w:rsidR="000717DA" w:rsidRPr="000717DA" w:rsidRDefault="000717DA" w:rsidP="000717DA">
      <w:pPr>
        <w:numPr>
          <w:ilvl w:val="0"/>
          <w:numId w:val="4"/>
        </w:numPr>
        <w:spacing w:after="0" w:line="259" w:lineRule="auto"/>
      </w:pPr>
      <w:r w:rsidRPr="000717DA">
        <w:t>Pakrineeme sissevoolupunkt vaid kehtiva LNG terminali liitumislepingu või TSO-FSRU lepingu  olemasolul</w:t>
      </w:r>
    </w:p>
    <w:p w14:paraId="2EDB05DE" w14:textId="77777777" w:rsidR="000717DA" w:rsidRPr="000717DA" w:rsidRDefault="000717DA" w:rsidP="000717DA">
      <w:pPr>
        <w:numPr>
          <w:ilvl w:val="0"/>
          <w:numId w:val="4"/>
        </w:numPr>
        <w:spacing w:after="0" w:line="259" w:lineRule="auto"/>
      </w:pPr>
      <w:r w:rsidRPr="000717DA">
        <w:t xml:space="preserve">Eesti ülekandesüsteemist Eesti jaotusvõrkudesse ja tarbijatele väljavoolu koondpunkt </w:t>
      </w:r>
    </w:p>
    <w:p w14:paraId="237CDE68" w14:textId="77777777" w:rsidR="000717DA" w:rsidRPr="000717DA" w:rsidRDefault="000717DA" w:rsidP="000717DA">
      <w:pPr>
        <w:numPr>
          <w:ilvl w:val="0"/>
          <w:numId w:val="4"/>
        </w:numPr>
        <w:spacing w:after="0" w:line="259" w:lineRule="auto"/>
      </w:pPr>
      <w:r w:rsidRPr="000717DA">
        <w:t>Eesti ülekandesüsteemi Eestis toodetud gaasi sissevoolu koondpunkt</w:t>
      </w:r>
    </w:p>
    <w:p w14:paraId="35644A44" w14:textId="77777777" w:rsidR="002935C2" w:rsidRPr="002935C2" w:rsidRDefault="002935C2" w:rsidP="000717DA">
      <w:pPr>
        <w:ind w:left="0" w:firstLine="0"/>
        <w:rPr>
          <w:szCs w:val="24"/>
        </w:rPr>
      </w:pPr>
    </w:p>
    <w:p w14:paraId="06D8AAA7" w14:textId="77777777" w:rsidR="002935C2" w:rsidRDefault="002935C2">
      <w:pPr>
        <w:ind w:left="-5"/>
      </w:pPr>
    </w:p>
    <w:p w14:paraId="67CB06AE" w14:textId="77777777" w:rsidR="002935C2" w:rsidRDefault="002935C2">
      <w:pPr>
        <w:ind w:left="-5"/>
      </w:pPr>
    </w:p>
    <w:p w14:paraId="72CC37F8" w14:textId="77777777" w:rsidR="002935C2" w:rsidRDefault="002935C2">
      <w:pPr>
        <w:ind w:left="-5"/>
      </w:pPr>
      <w:r>
        <w:t>Elering AS selgitused taotluses toodud võrgupunktide kohta:</w:t>
      </w:r>
    </w:p>
    <w:tbl>
      <w:tblPr>
        <w:tblStyle w:val="TableGrid0"/>
        <w:tblW w:w="9918" w:type="dxa"/>
        <w:tblInd w:w="0" w:type="dxa"/>
        <w:tblLook w:val="04A0" w:firstRow="1" w:lastRow="0" w:firstColumn="1" w:lastColumn="0" w:noHBand="0" w:noVBand="1"/>
      </w:tblPr>
      <w:tblGrid>
        <w:gridCol w:w="738"/>
        <w:gridCol w:w="4502"/>
        <w:gridCol w:w="2268"/>
        <w:gridCol w:w="2410"/>
      </w:tblGrid>
      <w:tr w:rsidR="000717DA" w:rsidRPr="000717DA" w14:paraId="0C8FC071" w14:textId="77777777" w:rsidTr="000717DA">
        <w:tc>
          <w:tcPr>
            <w:tcW w:w="7508" w:type="dxa"/>
            <w:gridSpan w:val="3"/>
            <w:tcBorders>
              <w:top w:val="single" w:sz="4" w:space="0" w:color="auto"/>
              <w:left w:val="single" w:sz="4" w:space="0" w:color="auto"/>
              <w:bottom w:val="single" w:sz="4" w:space="0" w:color="auto"/>
              <w:right w:val="single" w:sz="4" w:space="0" w:color="auto"/>
            </w:tcBorders>
            <w:hideMark/>
          </w:tcPr>
          <w:p w14:paraId="4BE130B0" w14:textId="77777777" w:rsidR="000717DA" w:rsidRPr="000717DA" w:rsidRDefault="000717DA" w:rsidP="000717DA">
            <w:pPr>
              <w:ind w:left="-5"/>
              <w:rPr>
                <w:b/>
                <w:bCs/>
              </w:rPr>
            </w:pPr>
            <w:r w:rsidRPr="000717DA">
              <w:rPr>
                <w:b/>
                <w:bCs/>
              </w:rPr>
              <w:t>Suuniste kohane määratluse alus ja vastavad punktid Eesti</w:t>
            </w:r>
          </w:p>
          <w:p w14:paraId="1915B279" w14:textId="77777777" w:rsidR="000717DA" w:rsidRPr="000717DA" w:rsidRDefault="000717DA" w:rsidP="000717DA">
            <w:pPr>
              <w:ind w:left="-5"/>
            </w:pPr>
            <w:r w:rsidRPr="000717DA">
              <w:rPr>
                <w:b/>
                <w:bCs/>
              </w:rPr>
              <w:t>gaasiülekandesüsteemis</w:t>
            </w:r>
          </w:p>
        </w:tc>
        <w:tc>
          <w:tcPr>
            <w:tcW w:w="2410" w:type="dxa"/>
            <w:tcBorders>
              <w:top w:val="single" w:sz="4" w:space="0" w:color="auto"/>
              <w:left w:val="single" w:sz="4" w:space="0" w:color="auto"/>
              <w:bottom w:val="single" w:sz="4" w:space="0" w:color="auto"/>
              <w:right w:val="single" w:sz="4" w:space="0" w:color="auto"/>
            </w:tcBorders>
            <w:hideMark/>
          </w:tcPr>
          <w:p w14:paraId="706C79F6" w14:textId="77777777" w:rsidR="000717DA" w:rsidRPr="000717DA" w:rsidRDefault="000717DA" w:rsidP="000717DA">
            <w:pPr>
              <w:ind w:left="-5"/>
            </w:pPr>
            <w:r w:rsidRPr="000717DA">
              <w:rPr>
                <w:b/>
                <w:bCs/>
              </w:rPr>
              <w:t>Märkus</w:t>
            </w:r>
          </w:p>
        </w:tc>
      </w:tr>
      <w:tr w:rsidR="000717DA" w:rsidRPr="000717DA" w14:paraId="365CACFE" w14:textId="77777777" w:rsidTr="000717DA">
        <w:tc>
          <w:tcPr>
            <w:tcW w:w="738" w:type="dxa"/>
            <w:tcBorders>
              <w:top w:val="single" w:sz="4" w:space="0" w:color="auto"/>
              <w:left w:val="single" w:sz="4" w:space="0" w:color="auto"/>
              <w:bottom w:val="single" w:sz="4" w:space="0" w:color="auto"/>
              <w:right w:val="single" w:sz="4" w:space="0" w:color="auto"/>
            </w:tcBorders>
            <w:hideMark/>
          </w:tcPr>
          <w:p w14:paraId="01D65C16" w14:textId="77777777" w:rsidR="000717DA" w:rsidRPr="000717DA" w:rsidRDefault="000717DA" w:rsidP="000717DA">
            <w:pPr>
              <w:ind w:left="-5"/>
            </w:pPr>
            <w:r w:rsidRPr="000717DA">
              <w:t>3.2 (1)</w:t>
            </w:r>
          </w:p>
        </w:tc>
        <w:tc>
          <w:tcPr>
            <w:tcW w:w="4502" w:type="dxa"/>
            <w:tcBorders>
              <w:top w:val="single" w:sz="4" w:space="0" w:color="auto"/>
              <w:left w:val="single" w:sz="4" w:space="0" w:color="auto"/>
              <w:bottom w:val="single" w:sz="4" w:space="0" w:color="auto"/>
              <w:right w:val="single" w:sz="4" w:space="0" w:color="auto"/>
            </w:tcBorders>
            <w:hideMark/>
          </w:tcPr>
          <w:p w14:paraId="179771D7" w14:textId="77777777" w:rsidR="000717DA" w:rsidRPr="000717DA" w:rsidRDefault="000717DA" w:rsidP="000717DA">
            <w:pPr>
              <w:ind w:left="-5"/>
            </w:pPr>
            <w:r w:rsidRPr="000717DA">
              <w:t>(a) Kõik edastusvõrgu halduri hallatava edastusvõrgu sisse- ja väljavoolupunktid, välja arvatud üksiku lõpptarbijaga ühendatud väljavoolupunktid ning välja</w:t>
            </w:r>
          </w:p>
          <w:p w14:paraId="27F70147" w14:textId="77777777" w:rsidR="000717DA" w:rsidRPr="000717DA" w:rsidRDefault="000717DA" w:rsidP="000717DA">
            <w:pPr>
              <w:ind w:left="-5"/>
            </w:pPr>
            <w:r w:rsidRPr="000717DA">
              <w:t>arvatud sissevoolupunktid, mis on vahetult seotud EL-is asuva üksiku tootja tootmisüksusega;</w:t>
            </w:r>
          </w:p>
        </w:tc>
        <w:tc>
          <w:tcPr>
            <w:tcW w:w="2268" w:type="dxa"/>
            <w:tcBorders>
              <w:top w:val="single" w:sz="4" w:space="0" w:color="auto"/>
              <w:left w:val="single" w:sz="4" w:space="0" w:color="auto"/>
              <w:bottom w:val="single" w:sz="4" w:space="0" w:color="auto"/>
              <w:right w:val="single" w:sz="4" w:space="0" w:color="auto"/>
            </w:tcBorders>
          </w:tcPr>
          <w:p w14:paraId="49F8C5CD" w14:textId="77777777" w:rsidR="000717DA" w:rsidRPr="000717DA" w:rsidRDefault="000717DA" w:rsidP="000717DA">
            <w:pPr>
              <w:ind w:left="-5"/>
            </w:pPr>
            <w:r w:rsidRPr="000717DA">
              <w:t>Balticconnector sisse- ja väljavoolupunkt</w:t>
            </w:r>
          </w:p>
          <w:p w14:paraId="67C92E79" w14:textId="77777777" w:rsidR="000717DA" w:rsidRPr="000717DA" w:rsidRDefault="000717DA" w:rsidP="000717DA">
            <w:pPr>
              <w:ind w:left="-5"/>
            </w:pPr>
          </w:p>
          <w:p w14:paraId="2C08D277" w14:textId="77777777" w:rsidR="000717DA" w:rsidRPr="000717DA" w:rsidRDefault="000717DA" w:rsidP="000717DA">
            <w:pPr>
              <w:ind w:left="-5"/>
            </w:pPr>
            <w:r w:rsidRPr="000717DA">
              <w:t>Luhamaa sisse- ja väljavoolupunkt</w:t>
            </w:r>
          </w:p>
        </w:tc>
        <w:tc>
          <w:tcPr>
            <w:tcW w:w="2410" w:type="dxa"/>
            <w:tcBorders>
              <w:top w:val="single" w:sz="4" w:space="0" w:color="auto"/>
              <w:left w:val="single" w:sz="4" w:space="0" w:color="auto"/>
              <w:bottom w:val="single" w:sz="4" w:space="0" w:color="auto"/>
              <w:right w:val="single" w:sz="4" w:space="0" w:color="auto"/>
            </w:tcBorders>
            <w:hideMark/>
          </w:tcPr>
          <w:p w14:paraId="697EF865" w14:textId="77777777" w:rsidR="000717DA" w:rsidRPr="000717DA" w:rsidRDefault="000717DA" w:rsidP="000717DA">
            <w:pPr>
              <w:ind w:left="-5"/>
            </w:pPr>
            <w:r w:rsidRPr="000717DA">
              <w:t>Punktid Eesti-Läti ühise tasakaalustustsooni piiridel.</w:t>
            </w:r>
          </w:p>
          <w:p w14:paraId="470C1A60" w14:textId="77777777" w:rsidR="000717DA" w:rsidRPr="000717DA" w:rsidRDefault="000717DA" w:rsidP="000717DA">
            <w:pPr>
              <w:ind w:left="-5"/>
            </w:pPr>
            <w:r w:rsidRPr="000717DA">
              <w:t xml:space="preserve">Balticconnectori puhul on tegemist virtuaalse mõõtepunktiga, mille näitajad iseloomustavad Paldiski ja </w:t>
            </w:r>
            <w:proofErr w:type="spellStart"/>
            <w:r w:rsidRPr="000717DA">
              <w:t>Inkoo</w:t>
            </w:r>
            <w:proofErr w:type="spellEnd"/>
            <w:r w:rsidRPr="000717DA">
              <w:t xml:space="preserve"> füüsilisi ühenduspunkte</w:t>
            </w:r>
          </w:p>
        </w:tc>
      </w:tr>
      <w:tr w:rsidR="000717DA" w:rsidRPr="000717DA" w14:paraId="58D8C276" w14:textId="77777777" w:rsidTr="000717DA">
        <w:tc>
          <w:tcPr>
            <w:tcW w:w="738" w:type="dxa"/>
            <w:tcBorders>
              <w:top w:val="single" w:sz="4" w:space="0" w:color="auto"/>
              <w:left w:val="single" w:sz="4" w:space="0" w:color="auto"/>
              <w:bottom w:val="single" w:sz="4" w:space="0" w:color="auto"/>
              <w:right w:val="single" w:sz="4" w:space="0" w:color="auto"/>
            </w:tcBorders>
          </w:tcPr>
          <w:p w14:paraId="1C655721" w14:textId="77777777" w:rsidR="000717DA" w:rsidRPr="000717DA" w:rsidRDefault="000717DA" w:rsidP="000717DA">
            <w:pPr>
              <w:ind w:left="-5"/>
            </w:pPr>
          </w:p>
        </w:tc>
        <w:tc>
          <w:tcPr>
            <w:tcW w:w="4502" w:type="dxa"/>
            <w:tcBorders>
              <w:top w:val="single" w:sz="4" w:space="0" w:color="auto"/>
              <w:left w:val="single" w:sz="4" w:space="0" w:color="auto"/>
              <w:bottom w:val="single" w:sz="4" w:space="0" w:color="auto"/>
              <w:right w:val="single" w:sz="4" w:space="0" w:color="auto"/>
            </w:tcBorders>
            <w:hideMark/>
          </w:tcPr>
          <w:p w14:paraId="76CC5212" w14:textId="77777777" w:rsidR="000717DA" w:rsidRPr="000717DA" w:rsidRDefault="000717DA" w:rsidP="000717DA">
            <w:pPr>
              <w:ind w:left="-5"/>
            </w:pPr>
            <w:r w:rsidRPr="000717DA">
              <w:t>(b) kõik sisse- ja väljavoolupunktid, mis ühendavad edastusvõrgu haldurite tasakaalustavaid tsoone;</w:t>
            </w:r>
          </w:p>
        </w:tc>
        <w:tc>
          <w:tcPr>
            <w:tcW w:w="2268" w:type="dxa"/>
            <w:tcBorders>
              <w:top w:val="single" w:sz="4" w:space="0" w:color="auto"/>
              <w:left w:val="single" w:sz="4" w:space="0" w:color="auto"/>
              <w:bottom w:val="single" w:sz="4" w:space="0" w:color="auto"/>
              <w:right w:val="single" w:sz="4" w:space="0" w:color="auto"/>
            </w:tcBorders>
            <w:hideMark/>
          </w:tcPr>
          <w:p w14:paraId="17756883" w14:textId="77777777" w:rsidR="000717DA" w:rsidRPr="000717DA" w:rsidRDefault="000717DA" w:rsidP="000717DA">
            <w:pPr>
              <w:ind w:left="-5"/>
            </w:pPr>
            <w:r w:rsidRPr="000717DA">
              <w:t>-</w:t>
            </w:r>
          </w:p>
        </w:tc>
        <w:tc>
          <w:tcPr>
            <w:tcW w:w="2410" w:type="dxa"/>
            <w:tcBorders>
              <w:top w:val="single" w:sz="4" w:space="0" w:color="auto"/>
              <w:left w:val="single" w:sz="4" w:space="0" w:color="auto"/>
              <w:bottom w:val="single" w:sz="4" w:space="0" w:color="auto"/>
              <w:right w:val="single" w:sz="4" w:space="0" w:color="auto"/>
            </w:tcBorders>
            <w:hideMark/>
          </w:tcPr>
          <w:p w14:paraId="0E3739B1" w14:textId="77777777" w:rsidR="000717DA" w:rsidRPr="000717DA" w:rsidRDefault="000717DA" w:rsidP="000717DA">
            <w:pPr>
              <w:ind w:left="-5"/>
            </w:pPr>
            <w:r w:rsidRPr="000717DA">
              <w:t>Eestis on vaid üks</w:t>
            </w:r>
          </w:p>
          <w:p w14:paraId="77ACF571" w14:textId="77777777" w:rsidR="000717DA" w:rsidRPr="000717DA" w:rsidRDefault="000717DA" w:rsidP="000717DA">
            <w:pPr>
              <w:ind w:left="-5"/>
            </w:pPr>
            <w:r w:rsidRPr="000717DA">
              <w:t>tasakaalustav</w:t>
            </w:r>
          </w:p>
          <w:p w14:paraId="4150EE74" w14:textId="77777777" w:rsidR="000717DA" w:rsidRPr="000717DA" w:rsidRDefault="000717DA" w:rsidP="000717DA">
            <w:pPr>
              <w:ind w:left="-5"/>
            </w:pPr>
            <w:r w:rsidRPr="000717DA">
              <w:t>tsoon</w:t>
            </w:r>
          </w:p>
        </w:tc>
      </w:tr>
      <w:tr w:rsidR="000717DA" w:rsidRPr="000717DA" w14:paraId="2AD47BBD" w14:textId="77777777" w:rsidTr="000717DA">
        <w:tc>
          <w:tcPr>
            <w:tcW w:w="738" w:type="dxa"/>
            <w:tcBorders>
              <w:top w:val="single" w:sz="4" w:space="0" w:color="auto"/>
              <w:left w:val="single" w:sz="4" w:space="0" w:color="auto"/>
              <w:bottom w:val="single" w:sz="4" w:space="0" w:color="auto"/>
              <w:right w:val="single" w:sz="4" w:space="0" w:color="auto"/>
            </w:tcBorders>
          </w:tcPr>
          <w:p w14:paraId="0EA91F68" w14:textId="77777777" w:rsidR="000717DA" w:rsidRPr="000717DA" w:rsidRDefault="000717DA" w:rsidP="000717DA">
            <w:pPr>
              <w:ind w:left="-5"/>
            </w:pPr>
          </w:p>
        </w:tc>
        <w:tc>
          <w:tcPr>
            <w:tcW w:w="4502" w:type="dxa"/>
            <w:tcBorders>
              <w:top w:val="single" w:sz="4" w:space="0" w:color="auto"/>
              <w:left w:val="single" w:sz="4" w:space="0" w:color="auto"/>
              <w:bottom w:val="single" w:sz="4" w:space="0" w:color="auto"/>
              <w:right w:val="single" w:sz="4" w:space="0" w:color="auto"/>
            </w:tcBorders>
            <w:hideMark/>
          </w:tcPr>
          <w:p w14:paraId="092699E6" w14:textId="77777777" w:rsidR="000717DA" w:rsidRPr="000717DA" w:rsidRDefault="000717DA" w:rsidP="000717DA">
            <w:pPr>
              <w:ind w:left="-5"/>
            </w:pPr>
            <w:r w:rsidRPr="000717DA">
              <w:t>(c) kõik punktid, mis ühendavad edastusvõrgu halduri võrku veeldatud maagaasi terminali, gaasi jaotuskeskuste</w:t>
            </w:r>
          </w:p>
          <w:p w14:paraId="28EABA1D" w14:textId="77777777" w:rsidR="000717DA" w:rsidRPr="000717DA" w:rsidRDefault="000717DA" w:rsidP="000717DA">
            <w:pPr>
              <w:ind w:left="-5"/>
            </w:pPr>
            <w:r w:rsidRPr="000717DA">
              <w:t>ning ladustamis- ja tootmisrajatistega, v.a juhul kui kõnealuste tootmisrajatiste suhtes kehtib punkti a kohane erand;</w:t>
            </w:r>
          </w:p>
        </w:tc>
        <w:tc>
          <w:tcPr>
            <w:tcW w:w="2268" w:type="dxa"/>
            <w:tcBorders>
              <w:top w:val="single" w:sz="4" w:space="0" w:color="auto"/>
              <w:left w:val="single" w:sz="4" w:space="0" w:color="auto"/>
              <w:bottom w:val="single" w:sz="4" w:space="0" w:color="auto"/>
              <w:right w:val="single" w:sz="4" w:space="0" w:color="auto"/>
            </w:tcBorders>
            <w:hideMark/>
          </w:tcPr>
          <w:p w14:paraId="4FF2AECB" w14:textId="77777777" w:rsidR="000717DA" w:rsidRPr="000717DA" w:rsidRDefault="000717DA" w:rsidP="000717DA">
            <w:pPr>
              <w:ind w:left="-5"/>
            </w:pPr>
            <w:r w:rsidRPr="000717DA">
              <w:t>Pakrineeme sissevoolupunkt</w:t>
            </w:r>
          </w:p>
        </w:tc>
        <w:tc>
          <w:tcPr>
            <w:tcW w:w="2410" w:type="dxa"/>
            <w:tcBorders>
              <w:top w:val="single" w:sz="4" w:space="0" w:color="auto"/>
              <w:left w:val="single" w:sz="4" w:space="0" w:color="auto"/>
              <w:bottom w:val="single" w:sz="4" w:space="0" w:color="auto"/>
              <w:right w:val="single" w:sz="4" w:space="0" w:color="auto"/>
            </w:tcBorders>
            <w:hideMark/>
          </w:tcPr>
          <w:p w14:paraId="2C288DCB" w14:textId="77777777" w:rsidR="000717DA" w:rsidRPr="000717DA" w:rsidRDefault="000717DA" w:rsidP="000717DA">
            <w:pPr>
              <w:ind w:left="-5"/>
            </w:pPr>
            <w:r w:rsidRPr="000717DA">
              <w:t>LNG terminali kehtiva liitumis või TSO-FSRU lepingu ajal</w:t>
            </w:r>
          </w:p>
        </w:tc>
      </w:tr>
      <w:tr w:rsidR="000717DA" w:rsidRPr="000717DA" w14:paraId="6DE9D209" w14:textId="77777777" w:rsidTr="000717DA">
        <w:tc>
          <w:tcPr>
            <w:tcW w:w="738" w:type="dxa"/>
            <w:tcBorders>
              <w:top w:val="single" w:sz="4" w:space="0" w:color="auto"/>
              <w:left w:val="single" w:sz="4" w:space="0" w:color="auto"/>
              <w:bottom w:val="single" w:sz="4" w:space="0" w:color="auto"/>
              <w:right w:val="single" w:sz="4" w:space="0" w:color="auto"/>
            </w:tcBorders>
          </w:tcPr>
          <w:p w14:paraId="349BD714" w14:textId="77777777" w:rsidR="000717DA" w:rsidRPr="000717DA" w:rsidRDefault="000717DA" w:rsidP="000717DA">
            <w:pPr>
              <w:ind w:left="-5"/>
            </w:pPr>
          </w:p>
        </w:tc>
        <w:tc>
          <w:tcPr>
            <w:tcW w:w="4502" w:type="dxa"/>
            <w:tcBorders>
              <w:top w:val="single" w:sz="4" w:space="0" w:color="auto"/>
              <w:left w:val="single" w:sz="4" w:space="0" w:color="auto"/>
              <w:bottom w:val="single" w:sz="4" w:space="0" w:color="auto"/>
              <w:right w:val="single" w:sz="4" w:space="0" w:color="auto"/>
            </w:tcBorders>
            <w:hideMark/>
          </w:tcPr>
          <w:p w14:paraId="5996F6CD" w14:textId="77777777" w:rsidR="000717DA" w:rsidRPr="000717DA" w:rsidRDefault="000717DA" w:rsidP="000717DA">
            <w:pPr>
              <w:ind w:left="-5"/>
            </w:pPr>
            <w:r w:rsidRPr="000717DA">
              <w:t>(d) kõik punktid, mis ühendavad teatava edastusvõrgu halduri võrku direktiivi 2009/73/EÜ artikli 2 punktis 14 määratletud abiteenuste osutamiseks vajaliku</w:t>
            </w:r>
          </w:p>
          <w:p w14:paraId="0F86FCD4" w14:textId="77777777" w:rsidR="000717DA" w:rsidRPr="000717DA" w:rsidRDefault="000717DA" w:rsidP="000717DA">
            <w:pPr>
              <w:ind w:left="-5"/>
            </w:pPr>
            <w:r w:rsidRPr="000717DA">
              <w:t>infrastruktuuriga.</w:t>
            </w:r>
          </w:p>
        </w:tc>
        <w:tc>
          <w:tcPr>
            <w:tcW w:w="2268" w:type="dxa"/>
            <w:tcBorders>
              <w:top w:val="single" w:sz="4" w:space="0" w:color="auto"/>
              <w:left w:val="single" w:sz="4" w:space="0" w:color="auto"/>
              <w:bottom w:val="single" w:sz="4" w:space="0" w:color="auto"/>
              <w:right w:val="single" w:sz="4" w:space="0" w:color="auto"/>
            </w:tcBorders>
            <w:hideMark/>
          </w:tcPr>
          <w:p w14:paraId="489E0923" w14:textId="77777777" w:rsidR="000717DA" w:rsidRPr="000717DA" w:rsidRDefault="000717DA" w:rsidP="000717DA">
            <w:pPr>
              <w:ind w:left="-5"/>
            </w:pPr>
            <w:r w:rsidRPr="000717DA">
              <w:t>-</w:t>
            </w:r>
          </w:p>
        </w:tc>
        <w:tc>
          <w:tcPr>
            <w:tcW w:w="2410" w:type="dxa"/>
            <w:tcBorders>
              <w:top w:val="single" w:sz="4" w:space="0" w:color="auto"/>
              <w:left w:val="single" w:sz="4" w:space="0" w:color="auto"/>
              <w:bottom w:val="single" w:sz="4" w:space="0" w:color="auto"/>
              <w:right w:val="single" w:sz="4" w:space="0" w:color="auto"/>
            </w:tcBorders>
            <w:hideMark/>
          </w:tcPr>
          <w:p w14:paraId="71D15F6D" w14:textId="77777777" w:rsidR="000717DA" w:rsidRPr="000717DA" w:rsidRDefault="000717DA" w:rsidP="000717DA">
            <w:pPr>
              <w:ind w:left="-5"/>
            </w:pPr>
            <w:r w:rsidRPr="000717DA">
              <w:t>Kogu abiteenuse</w:t>
            </w:r>
          </w:p>
          <w:p w14:paraId="0846BF07" w14:textId="77777777" w:rsidR="000717DA" w:rsidRPr="000717DA" w:rsidRDefault="000717DA" w:rsidP="000717DA">
            <w:pPr>
              <w:ind w:left="-5"/>
            </w:pPr>
            <w:r w:rsidRPr="000717DA">
              <w:t>osutamiseks</w:t>
            </w:r>
          </w:p>
          <w:p w14:paraId="1D1B2EB6" w14:textId="77777777" w:rsidR="000717DA" w:rsidRPr="000717DA" w:rsidRDefault="000717DA" w:rsidP="000717DA">
            <w:pPr>
              <w:ind w:left="-5"/>
            </w:pPr>
            <w:r w:rsidRPr="000717DA">
              <w:t>vajalik</w:t>
            </w:r>
          </w:p>
          <w:p w14:paraId="36DBB450" w14:textId="77777777" w:rsidR="000717DA" w:rsidRPr="000717DA" w:rsidRDefault="000717DA" w:rsidP="000717DA">
            <w:pPr>
              <w:ind w:left="-5"/>
            </w:pPr>
            <w:r w:rsidRPr="000717DA">
              <w:t>infrastruktuur</w:t>
            </w:r>
          </w:p>
          <w:p w14:paraId="25A143BF" w14:textId="77777777" w:rsidR="000717DA" w:rsidRPr="000717DA" w:rsidRDefault="000717DA" w:rsidP="000717DA">
            <w:pPr>
              <w:ind w:left="-5"/>
            </w:pPr>
            <w:r w:rsidRPr="000717DA">
              <w:t>kuulub</w:t>
            </w:r>
          </w:p>
          <w:p w14:paraId="36B0B255" w14:textId="77777777" w:rsidR="000717DA" w:rsidRPr="000717DA" w:rsidRDefault="000717DA" w:rsidP="000717DA">
            <w:pPr>
              <w:ind w:left="-5"/>
            </w:pPr>
            <w:r w:rsidRPr="000717DA">
              <w:t>ülekandesüsteemi</w:t>
            </w:r>
          </w:p>
          <w:p w14:paraId="33B62658" w14:textId="77777777" w:rsidR="000717DA" w:rsidRPr="000717DA" w:rsidRDefault="000717DA" w:rsidP="000717DA">
            <w:pPr>
              <w:ind w:left="-5"/>
            </w:pPr>
            <w:r w:rsidRPr="000717DA">
              <w:t>- haldurile.</w:t>
            </w:r>
          </w:p>
        </w:tc>
      </w:tr>
      <w:tr w:rsidR="000717DA" w:rsidRPr="000717DA" w14:paraId="3FFE80B5" w14:textId="77777777" w:rsidTr="000717DA">
        <w:tc>
          <w:tcPr>
            <w:tcW w:w="738" w:type="dxa"/>
            <w:tcBorders>
              <w:top w:val="single" w:sz="4" w:space="0" w:color="auto"/>
              <w:left w:val="single" w:sz="4" w:space="0" w:color="auto"/>
              <w:bottom w:val="single" w:sz="4" w:space="0" w:color="auto"/>
              <w:right w:val="single" w:sz="4" w:space="0" w:color="auto"/>
            </w:tcBorders>
            <w:hideMark/>
          </w:tcPr>
          <w:p w14:paraId="3E2B9BD4" w14:textId="77777777" w:rsidR="000717DA" w:rsidRPr="000717DA" w:rsidRDefault="000717DA" w:rsidP="000717DA">
            <w:pPr>
              <w:ind w:left="-5"/>
            </w:pPr>
            <w:r w:rsidRPr="000717DA">
              <w:t>3.2 (2)</w:t>
            </w:r>
          </w:p>
        </w:tc>
        <w:tc>
          <w:tcPr>
            <w:tcW w:w="4502" w:type="dxa"/>
            <w:tcBorders>
              <w:top w:val="single" w:sz="4" w:space="0" w:color="auto"/>
              <w:left w:val="single" w:sz="4" w:space="0" w:color="auto"/>
              <w:bottom w:val="single" w:sz="4" w:space="0" w:color="auto"/>
              <w:right w:val="single" w:sz="4" w:space="0" w:color="auto"/>
            </w:tcBorders>
            <w:hideMark/>
          </w:tcPr>
          <w:p w14:paraId="2A05F7E6" w14:textId="77777777" w:rsidR="000717DA" w:rsidRPr="000717DA" w:rsidRDefault="000717DA" w:rsidP="000717DA">
            <w:pPr>
              <w:ind w:left="-5"/>
            </w:pPr>
            <w:r w:rsidRPr="000717DA">
              <w:t>Teave üksikutele lõpptarbijatele ja tootmisüksustele, mille suhtes ei kohaldata punkti 3.2.1 alapunktis a kirjeldatud</w:t>
            </w:r>
          </w:p>
          <w:p w14:paraId="4203EAE7" w14:textId="77777777" w:rsidR="000717DA" w:rsidRPr="000717DA" w:rsidRDefault="000717DA" w:rsidP="000717DA">
            <w:pPr>
              <w:ind w:left="-5"/>
            </w:pPr>
            <w:r w:rsidRPr="000717DA">
              <w:t>asjakohase punkti määratlust, tuleb avaldada koondandmetena vähemalt tasakaalustava tsooni kohta. Üksikute lõpptarbijate ja tootmisüksuste rühma, mille suhtes ei kohaldata punkti 3.2.1 alapunktis a kirjeldatud asjakohase punkti määratlust, käsitatakse käesoleva lisa</w:t>
            </w:r>
          </w:p>
          <w:p w14:paraId="2B576A2C" w14:textId="77777777" w:rsidR="000717DA" w:rsidRPr="000717DA" w:rsidRDefault="000717DA" w:rsidP="000717DA">
            <w:pPr>
              <w:ind w:left="-5"/>
            </w:pPr>
            <w:r w:rsidRPr="000717DA">
              <w:t>kohaldamisel ühe asjakohase punktina.</w:t>
            </w:r>
          </w:p>
        </w:tc>
        <w:tc>
          <w:tcPr>
            <w:tcW w:w="2268" w:type="dxa"/>
            <w:tcBorders>
              <w:top w:val="single" w:sz="4" w:space="0" w:color="auto"/>
              <w:left w:val="single" w:sz="4" w:space="0" w:color="auto"/>
              <w:bottom w:val="single" w:sz="4" w:space="0" w:color="auto"/>
              <w:right w:val="single" w:sz="4" w:space="0" w:color="auto"/>
            </w:tcBorders>
          </w:tcPr>
          <w:p w14:paraId="5390F40C" w14:textId="77777777" w:rsidR="000717DA" w:rsidRPr="000717DA" w:rsidRDefault="000717DA" w:rsidP="000717DA">
            <w:pPr>
              <w:ind w:left="-5"/>
            </w:pPr>
            <w:r w:rsidRPr="000717DA">
              <w:t>Eesti ülekandesüsteemist</w:t>
            </w:r>
          </w:p>
          <w:p w14:paraId="7AEF56EF" w14:textId="77777777" w:rsidR="000717DA" w:rsidRPr="000717DA" w:rsidRDefault="000717DA" w:rsidP="000717DA">
            <w:pPr>
              <w:ind w:left="-5"/>
            </w:pPr>
            <w:r w:rsidRPr="000717DA">
              <w:t>Eestis jaotusvõrkudesse</w:t>
            </w:r>
          </w:p>
          <w:p w14:paraId="4AE70237" w14:textId="77777777" w:rsidR="000717DA" w:rsidRPr="000717DA" w:rsidRDefault="000717DA" w:rsidP="000717DA">
            <w:pPr>
              <w:ind w:left="-5"/>
            </w:pPr>
            <w:r w:rsidRPr="000717DA">
              <w:t xml:space="preserve">ja tarbijatele väljavoolu koondpunkt </w:t>
            </w:r>
          </w:p>
          <w:p w14:paraId="1B4CC755" w14:textId="77777777" w:rsidR="000717DA" w:rsidRPr="000717DA" w:rsidRDefault="000717DA" w:rsidP="000717DA">
            <w:pPr>
              <w:ind w:left="-5"/>
            </w:pPr>
          </w:p>
          <w:p w14:paraId="6B87C910" w14:textId="77777777" w:rsidR="000717DA" w:rsidRPr="000717DA" w:rsidRDefault="000717DA" w:rsidP="000717DA">
            <w:pPr>
              <w:ind w:left="-5"/>
            </w:pPr>
            <w:r w:rsidRPr="000717DA">
              <w:t>Eesti ülekandesüsteemi</w:t>
            </w:r>
          </w:p>
          <w:p w14:paraId="53396C10" w14:textId="77777777" w:rsidR="000717DA" w:rsidRPr="000717DA" w:rsidRDefault="000717DA" w:rsidP="000717DA">
            <w:pPr>
              <w:ind w:left="-5"/>
            </w:pPr>
            <w:r w:rsidRPr="000717DA">
              <w:t>Eestis toodetud gaas</w:t>
            </w:r>
          </w:p>
          <w:p w14:paraId="5CF38863" w14:textId="77777777" w:rsidR="000717DA" w:rsidRPr="000717DA" w:rsidRDefault="000717DA" w:rsidP="000717DA">
            <w:pPr>
              <w:ind w:left="-5"/>
            </w:pPr>
            <w:r w:rsidRPr="000717DA">
              <w:t>Sissevoolu koondpunkt</w:t>
            </w:r>
          </w:p>
        </w:tc>
        <w:tc>
          <w:tcPr>
            <w:tcW w:w="2410" w:type="dxa"/>
            <w:tcBorders>
              <w:top w:val="single" w:sz="4" w:space="0" w:color="auto"/>
              <w:left w:val="single" w:sz="4" w:space="0" w:color="auto"/>
              <w:bottom w:val="single" w:sz="4" w:space="0" w:color="auto"/>
              <w:right w:val="single" w:sz="4" w:space="0" w:color="auto"/>
            </w:tcBorders>
            <w:hideMark/>
          </w:tcPr>
          <w:p w14:paraId="05C4315C" w14:textId="77777777" w:rsidR="000717DA" w:rsidRPr="000717DA" w:rsidRDefault="000717DA" w:rsidP="000717DA">
            <w:pPr>
              <w:ind w:left="-5"/>
            </w:pPr>
            <w:r w:rsidRPr="000717DA">
              <w:t>Katavad Eesti</w:t>
            </w:r>
          </w:p>
          <w:p w14:paraId="52A63F68" w14:textId="77777777" w:rsidR="000717DA" w:rsidRPr="000717DA" w:rsidRDefault="000717DA" w:rsidP="000717DA">
            <w:pPr>
              <w:ind w:left="-5"/>
            </w:pPr>
            <w:r w:rsidRPr="000717DA">
              <w:t>gaasi tarbimise ja</w:t>
            </w:r>
          </w:p>
          <w:p w14:paraId="4EDB6055" w14:textId="77777777" w:rsidR="000717DA" w:rsidRPr="000717DA" w:rsidRDefault="000717DA" w:rsidP="000717DA">
            <w:pPr>
              <w:ind w:left="-5"/>
            </w:pPr>
            <w:r w:rsidRPr="000717DA">
              <w:t>tootmise</w:t>
            </w:r>
          </w:p>
          <w:p w14:paraId="510B77C4" w14:textId="77777777" w:rsidR="000717DA" w:rsidRPr="000717DA" w:rsidRDefault="000717DA" w:rsidP="000717DA">
            <w:pPr>
              <w:ind w:left="-5"/>
            </w:pPr>
            <w:r w:rsidRPr="000717DA">
              <w:t xml:space="preserve">koondandmed (sh </w:t>
            </w:r>
            <w:proofErr w:type="spellStart"/>
            <w:r w:rsidRPr="000717DA">
              <w:t>ühekorde</w:t>
            </w:r>
            <w:proofErr w:type="spellEnd"/>
            <w:r w:rsidRPr="000717DA">
              <w:t xml:space="preserve"> FSRU mahalaadimine Pakrineeme punktis)</w:t>
            </w:r>
          </w:p>
        </w:tc>
      </w:tr>
      <w:tr w:rsidR="000717DA" w:rsidRPr="000717DA" w14:paraId="678A3826" w14:textId="77777777" w:rsidTr="000717DA">
        <w:tc>
          <w:tcPr>
            <w:tcW w:w="738" w:type="dxa"/>
            <w:tcBorders>
              <w:top w:val="single" w:sz="4" w:space="0" w:color="auto"/>
              <w:left w:val="single" w:sz="4" w:space="0" w:color="auto"/>
              <w:bottom w:val="single" w:sz="4" w:space="0" w:color="auto"/>
              <w:right w:val="single" w:sz="4" w:space="0" w:color="auto"/>
            </w:tcBorders>
            <w:hideMark/>
          </w:tcPr>
          <w:p w14:paraId="219C65D0" w14:textId="77777777" w:rsidR="000717DA" w:rsidRPr="000717DA" w:rsidRDefault="000717DA" w:rsidP="000717DA">
            <w:pPr>
              <w:ind w:left="-5"/>
            </w:pPr>
            <w:r w:rsidRPr="000717DA">
              <w:lastRenderedPageBreak/>
              <w:t>3.2 (3)</w:t>
            </w:r>
          </w:p>
        </w:tc>
        <w:tc>
          <w:tcPr>
            <w:tcW w:w="4502" w:type="dxa"/>
            <w:tcBorders>
              <w:top w:val="single" w:sz="4" w:space="0" w:color="auto"/>
              <w:left w:val="single" w:sz="4" w:space="0" w:color="auto"/>
              <w:bottom w:val="single" w:sz="4" w:space="0" w:color="auto"/>
              <w:right w:val="single" w:sz="4" w:space="0" w:color="auto"/>
            </w:tcBorders>
            <w:hideMark/>
          </w:tcPr>
          <w:p w14:paraId="07FAB009" w14:textId="77777777" w:rsidR="000717DA" w:rsidRPr="000717DA" w:rsidRDefault="000717DA" w:rsidP="000717DA">
            <w:pPr>
              <w:ind w:left="-5"/>
            </w:pPr>
            <w:r w:rsidRPr="000717DA">
              <w:t>Kui kahe või enama edastusvõrgu halduri vahelisi punkte haldavad üksnes asjaomased võrguhaldurid ja võrgu</w:t>
            </w:r>
          </w:p>
          <w:p w14:paraId="37400A15" w14:textId="77777777" w:rsidR="000717DA" w:rsidRPr="000717DA" w:rsidRDefault="000717DA" w:rsidP="000717DA">
            <w:pPr>
              <w:ind w:left="-5"/>
            </w:pPr>
            <w:r w:rsidRPr="000717DA">
              <w:t>kasutajad ei ole lepingu- või käitamispõhiselt ühelgi viisil kaasatud või kui punktide kaudu on edastusvõrk</w:t>
            </w:r>
          </w:p>
          <w:p w14:paraId="2ECFA60A" w14:textId="77777777" w:rsidR="000717DA" w:rsidRPr="000717DA" w:rsidRDefault="000717DA" w:rsidP="000717DA">
            <w:pPr>
              <w:ind w:left="-5"/>
            </w:pPr>
            <w:r w:rsidRPr="000717DA">
              <w:t>ühendatud jaotusvõrguga ja kõnealused punktid ei ole lepingutega ülekoormatud, on selliste punktide edastusvõrgu haldurid vabastatud kohustusest avaldada</w:t>
            </w:r>
          </w:p>
          <w:p w14:paraId="6F21A260" w14:textId="77777777" w:rsidR="000717DA" w:rsidRPr="000717DA" w:rsidRDefault="000717DA" w:rsidP="000717DA">
            <w:pPr>
              <w:ind w:left="-5"/>
            </w:pPr>
            <w:r w:rsidRPr="000717DA">
              <w:t>nõuded vastavalt käesoleva lisa punktile 3.3. Riiklik reguleeriv asutus võib nõuda edastusvõrgu halduritelt käesoleva lisa punkti 3.3 kohaste nõuete avaldamist</w:t>
            </w:r>
          </w:p>
          <w:p w14:paraId="785F276C" w14:textId="77777777" w:rsidR="000717DA" w:rsidRPr="000717DA" w:rsidRDefault="000717DA" w:rsidP="000717DA">
            <w:pPr>
              <w:ind w:left="-5"/>
            </w:pPr>
            <w:r w:rsidRPr="000717DA">
              <w:t>avaldamiskohustusega hõlmamata punktide rühmade või kõigi avaldamiskohustusega hõlmamata punktide kohta. Sel juhul avaldatakse teave, kui see on edastusvõrgu</w:t>
            </w:r>
          </w:p>
          <w:p w14:paraId="75783F76" w14:textId="77777777" w:rsidR="000717DA" w:rsidRPr="000717DA" w:rsidRDefault="000717DA" w:rsidP="000717DA">
            <w:pPr>
              <w:ind w:left="-5"/>
            </w:pPr>
            <w:r w:rsidRPr="000717DA">
              <w:t>haldurile kättesaadav, koondandmetena otstarbekohasel tasandil vähemalt tasakaalustava tsooni kohta. Nimetatud</w:t>
            </w:r>
          </w:p>
          <w:p w14:paraId="21277AFE" w14:textId="77777777" w:rsidR="000717DA" w:rsidRPr="000717DA" w:rsidRDefault="000717DA" w:rsidP="000717DA">
            <w:pPr>
              <w:ind w:left="-5"/>
            </w:pPr>
            <w:r w:rsidRPr="000717DA">
              <w:t>punktide rühma käsitatakse käesoleva lisa kohaldamisel ühe asjakohase punktina.</w:t>
            </w:r>
          </w:p>
        </w:tc>
        <w:tc>
          <w:tcPr>
            <w:tcW w:w="2268" w:type="dxa"/>
            <w:tcBorders>
              <w:top w:val="single" w:sz="4" w:space="0" w:color="auto"/>
              <w:left w:val="single" w:sz="4" w:space="0" w:color="auto"/>
              <w:bottom w:val="single" w:sz="4" w:space="0" w:color="auto"/>
              <w:right w:val="single" w:sz="4" w:space="0" w:color="auto"/>
            </w:tcBorders>
            <w:hideMark/>
          </w:tcPr>
          <w:p w14:paraId="02A6361F" w14:textId="77777777" w:rsidR="000717DA" w:rsidRPr="000717DA" w:rsidRDefault="000717DA" w:rsidP="000717DA">
            <w:pPr>
              <w:ind w:left="-5"/>
            </w:pPr>
            <w:r w:rsidRPr="000717DA">
              <w:t>-</w:t>
            </w:r>
          </w:p>
        </w:tc>
        <w:tc>
          <w:tcPr>
            <w:tcW w:w="2410" w:type="dxa"/>
            <w:tcBorders>
              <w:top w:val="single" w:sz="4" w:space="0" w:color="auto"/>
              <w:left w:val="single" w:sz="4" w:space="0" w:color="auto"/>
              <w:bottom w:val="single" w:sz="4" w:space="0" w:color="auto"/>
              <w:right w:val="single" w:sz="4" w:space="0" w:color="auto"/>
            </w:tcBorders>
          </w:tcPr>
          <w:p w14:paraId="3D77008E" w14:textId="77777777" w:rsidR="000717DA" w:rsidRPr="000717DA" w:rsidRDefault="000717DA" w:rsidP="000717DA">
            <w:pPr>
              <w:ind w:left="-5"/>
            </w:pPr>
            <w:r w:rsidRPr="000717DA">
              <w:t>Alates 2020 on Karksi sisse- ja väljavoolupunkt ning Misso transiidipunkt üksnes võrguhaldurite hallatavad punktid</w:t>
            </w:r>
          </w:p>
          <w:p w14:paraId="195D1165" w14:textId="77777777" w:rsidR="000717DA" w:rsidRPr="000717DA" w:rsidRDefault="000717DA" w:rsidP="000717DA">
            <w:pPr>
              <w:ind w:left="-5"/>
            </w:pPr>
          </w:p>
          <w:p w14:paraId="227116F3" w14:textId="77777777" w:rsidR="000717DA" w:rsidRPr="000717DA" w:rsidRDefault="000717DA" w:rsidP="000717DA">
            <w:pPr>
              <w:ind w:left="-5"/>
            </w:pPr>
            <w:r w:rsidRPr="000717DA">
              <w:t>Alates 2020 on Misso sissevoolupunkt riigisisene punkt.</w:t>
            </w:r>
          </w:p>
        </w:tc>
      </w:tr>
    </w:tbl>
    <w:p w14:paraId="3C98FBC5" w14:textId="77777777" w:rsidR="000717DA" w:rsidRPr="000717DA" w:rsidRDefault="000717DA" w:rsidP="000717DA">
      <w:pPr>
        <w:ind w:left="-5"/>
      </w:pPr>
    </w:p>
    <w:p w14:paraId="28500A57" w14:textId="77777777" w:rsidR="000717DA" w:rsidRDefault="000717DA">
      <w:pPr>
        <w:ind w:left="-5"/>
      </w:pPr>
    </w:p>
    <w:p w14:paraId="5C424252" w14:textId="77777777" w:rsidR="004C5287" w:rsidRDefault="002935C2">
      <w:pPr>
        <w:ind w:left="-5"/>
      </w:pPr>
      <w:r>
        <w:t xml:space="preserve">Seoses eeltooduga palub Konkurentsiamet </w:t>
      </w:r>
      <w:r w:rsidR="00234FBB">
        <w:t>turuosalis</w:t>
      </w:r>
      <w:r w:rsidR="00941421">
        <w:t>t</w:t>
      </w:r>
      <w:r w:rsidR="00234FBB">
        <w:t xml:space="preserve">el </w:t>
      </w:r>
      <w:r>
        <w:t>esitada omapool</w:t>
      </w:r>
      <w:r w:rsidR="00941421">
        <w:t>sed</w:t>
      </w:r>
      <w:r>
        <w:t xml:space="preserve"> </w:t>
      </w:r>
      <w:r w:rsidR="00234FBB">
        <w:t>seisukoh</w:t>
      </w:r>
      <w:r w:rsidR="00941421">
        <w:t>ad</w:t>
      </w:r>
      <w:r w:rsidR="00234FBB">
        <w:t xml:space="preserve"> </w:t>
      </w:r>
      <w:r w:rsidR="00941421">
        <w:t>gaasi ülekandesüsteemi võrgupunktide muudatuste kohta.</w:t>
      </w:r>
    </w:p>
    <w:p w14:paraId="505C0D49" w14:textId="5020A198" w:rsidR="00186EA5" w:rsidRDefault="00186EA5">
      <w:pPr>
        <w:ind w:left="-5"/>
      </w:pPr>
    </w:p>
    <w:p w14:paraId="75E96903" w14:textId="426EBD7D" w:rsidR="00186EA5" w:rsidRDefault="002935C2" w:rsidP="00237A6C">
      <w:pPr>
        <w:ind w:left="-5"/>
      </w:pPr>
      <w:r>
        <w:t>Konkurentsiamet palub seisukohad</w:t>
      </w:r>
      <w:r w:rsidR="00304938">
        <w:t xml:space="preserve"> ja kommentaarid</w:t>
      </w:r>
      <w:r>
        <w:t xml:space="preserve"> edastada e-posti aadressile </w:t>
      </w:r>
      <w:r>
        <w:rPr>
          <w:color w:val="000080"/>
          <w:u w:val="single" w:color="000080"/>
        </w:rPr>
        <w:t>info@konkurentsiamet.ee</w:t>
      </w:r>
      <w:r>
        <w:t xml:space="preserve"> hiljemalt </w:t>
      </w:r>
      <w:r w:rsidR="00A51F6B">
        <w:t>23</w:t>
      </w:r>
      <w:r>
        <w:t>.</w:t>
      </w:r>
      <w:r w:rsidR="00A51F6B">
        <w:t>08</w:t>
      </w:r>
      <w:r>
        <w:t>.20</w:t>
      </w:r>
      <w:r w:rsidR="00BC5AED">
        <w:t>24</w:t>
      </w:r>
      <w:r>
        <w:t xml:space="preserve">. </w:t>
      </w:r>
    </w:p>
    <w:p w14:paraId="166E8FD4" w14:textId="77777777" w:rsidR="00186EA5" w:rsidRDefault="002935C2" w:rsidP="002935C2">
      <w:pPr>
        <w:pStyle w:val="NoSpacing"/>
      </w:pPr>
      <w:r>
        <w:t xml:space="preserve"> </w:t>
      </w:r>
    </w:p>
    <w:p w14:paraId="2A9075AF" w14:textId="77777777" w:rsidR="00186EA5" w:rsidRDefault="002935C2" w:rsidP="002935C2">
      <w:pPr>
        <w:pStyle w:val="NoSpacing"/>
      </w:pPr>
      <w:r>
        <w:t xml:space="preserve"> </w:t>
      </w:r>
    </w:p>
    <w:p w14:paraId="405E60A4" w14:textId="047F0ED3" w:rsidR="00186EA5" w:rsidRDefault="00186EA5" w:rsidP="002935C2">
      <w:pPr>
        <w:pStyle w:val="NoSpacing"/>
      </w:pPr>
    </w:p>
    <w:sectPr w:rsidR="00186EA5">
      <w:footerReference w:type="even" r:id="rId7"/>
      <w:footerReference w:type="first" r:id="rId8"/>
      <w:pgSz w:w="11906" w:h="16838"/>
      <w:pgMar w:top="951" w:right="1017" w:bottom="1018" w:left="1815" w:header="708" w:footer="73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12221" w14:textId="77777777" w:rsidR="00EA2BD4" w:rsidRDefault="00EA2BD4">
      <w:pPr>
        <w:spacing w:after="0" w:line="240" w:lineRule="auto"/>
      </w:pPr>
      <w:r>
        <w:separator/>
      </w:r>
    </w:p>
  </w:endnote>
  <w:endnote w:type="continuationSeparator" w:id="0">
    <w:p w14:paraId="4E4D2296" w14:textId="77777777" w:rsidR="00EA2BD4" w:rsidRDefault="00EA2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E97C0" w14:textId="77777777" w:rsidR="00186EA5" w:rsidRDefault="002935C2">
    <w:pPr>
      <w:spacing w:after="0" w:line="259" w:lineRule="auto"/>
      <w:ind w:left="0" w:firstLine="0"/>
      <w:jc w:val="left"/>
    </w:pPr>
    <w:r>
      <w:rPr>
        <w:sz w:val="20"/>
      </w:rPr>
      <w:t xml:space="preserve">Auna 6 / 10317 Tallinn / 667 2400 / info@konkurentsiamet.ee / Registrikood 70000303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3E1B0" w14:textId="77777777" w:rsidR="00186EA5" w:rsidRDefault="002935C2">
    <w:pPr>
      <w:spacing w:after="0" w:line="259" w:lineRule="auto"/>
      <w:ind w:left="0" w:firstLine="0"/>
      <w:jc w:val="left"/>
    </w:pPr>
    <w:r>
      <w:rPr>
        <w:sz w:val="20"/>
      </w:rPr>
      <w:t xml:space="preserve">Auna 6 / 10317 Tallinn / 667 2400 / info@konkurentsiamet.ee / Registrikood 70000303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51272" w14:textId="77777777" w:rsidR="00EA2BD4" w:rsidRDefault="00EA2BD4">
      <w:pPr>
        <w:spacing w:after="0" w:line="240" w:lineRule="auto"/>
      </w:pPr>
      <w:r>
        <w:separator/>
      </w:r>
    </w:p>
  </w:footnote>
  <w:footnote w:type="continuationSeparator" w:id="0">
    <w:p w14:paraId="5C882E3E" w14:textId="77777777" w:rsidR="00EA2BD4" w:rsidRDefault="00EA2B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D2D"/>
    <w:multiLevelType w:val="hybridMultilevel"/>
    <w:tmpl w:val="389C48D2"/>
    <w:lvl w:ilvl="0" w:tplc="36E6633C">
      <w:start w:val="7"/>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7C44B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82B0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7EB6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1883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023B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92CD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5058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3AD2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ED09DE"/>
    <w:multiLevelType w:val="hybridMultilevel"/>
    <w:tmpl w:val="19DC56C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 w15:restartNumberingAfterBreak="0">
    <w:nsid w:val="69083240"/>
    <w:multiLevelType w:val="hybridMultilevel"/>
    <w:tmpl w:val="1376F406"/>
    <w:lvl w:ilvl="0" w:tplc="52B67760">
      <w:start w:val="1"/>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DE6C2D6">
      <w:start w:val="1"/>
      <w:numFmt w:val="lowerLetter"/>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669BC0">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BE0908">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F85160">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2E8958">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5EA628">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42CDF2">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BC0AE4">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D4B2C3B"/>
    <w:multiLevelType w:val="hybridMultilevel"/>
    <w:tmpl w:val="01043CBC"/>
    <w:lvl w:ilvl="0" w:tplc="5540EDD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40FF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1E2B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E67B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B872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22BC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CCBF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0AA6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0E51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399327275">
    <w:abstractNumId w:val="3"/>
  </w:num>
  <w:num w:numId="2" w16cid:durableId="1251502536">
    <w:abstractNumId w:val="0"/>
  </w:num>
  <w:num w:numId="3" w16cid:durableId="279847042">
    <w:abstractNumId w:val="2"/>
  </w:num>
  <w:num w:numId="4" w16cid:durableId="7229443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oNotDisplayPageBoundaries/>
  <w:proofState w:spelling="clean" w:grammar="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EA5"/>
    <w:rsid w:val="000074C8"/>
    <w:rsid w:val="000717DA"/>
    <w:rsid w:val="000D2BF5"/>
    <w:rsid w:val="001527E1"/>
    <w:rsid w:val="00186EA5"/>
    <w:rsid w:val="001C39B5"/>
    <w:rsid w:val="00234FBB"/>
    <w:rsid w:val="00237A6C"/>
    <w:rsid w:val="002935C2"/>
    <w:rsid w:val="00304938"/>
    <w:rsid w:val="00450F78"/>
    <w:rsid w:val="004C5287"/>
    <w:rsid w:val="00506F63"/>
    <w:rsid w:val="005523C1"/>
    <w:rsid w:val="00775FAC"/>
    <w:rsid w:val="00886751"/>
    <w:rsid w:val="008C2696"/>
    <w:rsid w:val="00941421"/>
    <w:rsid w:val="00A51F6B"/>
    <w:rsid w:val="00AE18FC"/>
    <w:rsid w:val="00AE4B1D"/>
    <w:rsid w:val="00B36120"/>
    <w:rsid w:val="00BC5AED"/>
    <w:rsid w:val="00C9169E"/>
    <w:rsid w:val="00DA7B14"/>
    <w:rsid w:val="00EA2BD4"/>
    <w:rsid w:val="00F93D1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04FBB"/>
  <w15:docId w15:val="{F102CA93-4596-4D88-B6CC-EA640C41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9"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935C2"/>
    <w:pPr>
      <w:tabs>
        <w:tab w:val="center" w:pos="4536"/>
        <w:tab w:val="right" w:pos="9072"/>
      </w:tabs>
      <w:spacing w:after="0" w:line="240" w:lineRule="auto"/>
    </w:pPr>
  </w:style>
  <w:style w:type="character" w:customStyle="1" w:styleId="HeaderChar">
    <w:name w:val="Header Char"/>
    <w:basedOn w:val="DefaultParagraphFont"/>
    <w:link w:val="Header"/>
    <w:uiPriority w:val="99"/>
    <w:rsid w:val="002935C2"/>
    <w:rPr>
      <w:rFonts w:ascii="Times New Roman" w:eastAsia="Times New Roman" w:hAnsi="Times New Roman" w:cs="Times New Roman"/>
      <w:color w:val="000000"/>
      <w:sz w:val="24"/>
    </w:rPr>
  </w:style>
  <w:style w:type="paragraph" w:styleId="Footer">
    <w:name w:val="footer"/>
    <w:basedOn w:val="Normal"/>
    <w:link w:val="FooterChar"/>
    <w:uiPriority w:val="99"/>
    <w:semiHidden/>
    <w:unhideWhenUsed/>
    <w:rsid w:val="002935C2"/>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2935C2"/>
    <w:rPr>
      <w:rFonts w:ascii="Times New Roman" w:eastAsia="Times New Roman" w:hAnsi="Times New Roman" w:cs="Times New Roman"/>
      <w:color w:val="000000"/>
      <w:sz w:val="24"/>
    </w:rPr>
  </w:style>
  <w:style w:type="paragraph" w:styleId="NoSpacing">
    <w:name w:val="No Spacing"/>
    <w:uiPriority w:val="1"/>
    <w:qFormat/>
    <w:rsid w:val="002935C2"/>
    <w:pPr>
      <w:spacing w:after="0" w:line="240" w:lineRule="auto"/>
      <w:ind w:left="10" w:hanging="10"/>
      <w:jc w:val="both"/>
    </w:pPr>
    <w:rPr>
      <w:rFonts w:ascii="Times New Roman" w:eastAsia="Times New Roman" w:hAnsi="Times New Roman" w:cs="Times New Roman"/>
      <w:color w:val="000000"/>
      <w:sz w:val="24"/>
    </w:rPr>
  </w:style>
  <w:style w:type="table" w:styleId="TableGrid0">
    <w:name w:val="Table Grid"/>
    <w:basedOn w:val="TableNormal"/>
    <w:uiPriority w:val="39"/>
    <w:rsid w:val="000717DA"/>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36120"/>
    <w:rPr>
      <w:sz w:val="16"/>
      <w:szCs w:val="16"/>
    </w:rPr>
  </w:style>
  <w:style w:type="paragraph" w:styleId="CommentText">
    <w:name w:val="annotation text"/>
    <w:basedOn w:val="Normal"/>
    <w:link w:val="CommentTextChar"/>
    <w:uiPriority w:val="99"/>
    <w:unhideWhenUsed/>
    <w:rsid w:val="00B36120"/>
    <w:pPr>
      <w:spacing w:line="240" w:lineRule="auto"/>
    </w:pPr>
    <w:rPr>
      <w:sz w:val="20"/>
      <w:szCs w:val="20"/>
    </w:rPr>
  </w:style>
  <w:style w:type="character" w:customStyle="1" w:styleId="CommentTextChar">
    <w:name w:val="Comment Text Char"/>
    <w:basedOn w:val="DefaultParagraphFont"/>
    <w:link w:val="CommentText"/>
    <w:uiPriority w:val="99"/>
    <w:rsid w:val="00B3612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B36120"/>
    <w:rPr>
      <w:b/>
      <w:bCs/>
    </w:rPr>
  </w:style>
  <w:style w:type="character" w:customStyle="1" w:styleId="CommentSubjectChar">
    <w:name w:val="Comment Subject Char"/>
    <w:basedOn w:val="CommentTextChar"/>
    <w:link w:val="CommentSubject"/>
    <w:uiPriority w:val="99"/>
    <w:semiHidden/>
    <w:rsid w:val="00B36120"/>
    <w:rPr>
      <w:rFonts w:ascii="Times New Roman" w:eastAsia="Times New Roman" w:hAnsi="Times New Roman" w:cs="Times New Roman"/>
      <w:b/>
      <w:bCs/>
      <w:color w:val="000000"/>
      <w:sz w:val="20"/>
      <w:szCs w:val="20"/>
    </w:rPr>
  </w:style>
  <w:style w:type="paragraph" w:styleId="Revision">
    <w:name w:val="Revision"/>
    <w:hidden/>
    <w:uiPriority w:val="99"/>
    <w:semiHidden/>
    <w:rsid w:val="00C9169E"/>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433366">
      <w:bodyDiv w:val="1"/>
      <w:marLeft w:val="0"/>
      <w:marRight w:val="0"/>
      <w:marTop w:val="0"/>
      <w:marBottom w:val="0"/>
      <w:divBdr>
        <w:top w:val="none" w:sz="0" w:space="0" w:color="auto"/>
        <w:left w:val="none" w:sz="0" w:space="0" w:color="auto"/>
        <w:bottom w:val="none" w:sz="0" w:space="0" w:color="auto"/>
        <w:right w:val="none" w:sz="0" w:space="0" w:color="auto"/>
      </w:divBdr>
    </w:div>
    <w:div w:id="296573566">
      <w:bodyDiv w:val="1"/>
      <w:marLeft w:val="0"/>
      <w:marRight w:val="0"/>
      <w:marTop w:val="0"/>
      <w:marBottom w:val="0"/>
      <w:divBdr>
        <w:top w:val="none" w:sz="0" w:space="0" w:color="auto"/>
        <w:left w:val="none" w:sz="0" w:space="0" w:color="auto"/>
        <w:bottom w:val="none" w:sz="0" w:space="0" w:color="auto"/>
        <w:right w:val="none" w:sz="0" w:space="0" w:color="auto"/>
      </w:divBdr>
    </w:div>
    <w:div w:id="503514532">
      <w:bodyDiv w:val="1"/>
      <w:marLeft w:val="0"/>
      <w:marRight w:val="0"/>
      <w:marTop w:val="0"/>
      <w:marBottom w:val="0"/>
      <w:divBdr>
        <w:top w:val="none" w:sz="0" w:space="0" w:color="auto"/>
        <w:left w:val="none" w:sz="0" w:space="0" w:color="auto"/>
        <w:bottom w:val="none" w:sz="0" w:space="0" w:color="auto"/>
        <w:right w:val="none" w:sz="0" w:space="0" w:color="auto"/>
      </w:divBdr>
    </w:div>
    <w:div w:id="1001390228">
      <w:bodyDiv w:val="1"/>
      <w:marLeft w:val="0"/>
      <w:marRight w:val="0"/>
      <w:marTop w:val="0"/>
      <w:marBottom w:val="0"/>
      <w:divBdr>
        <w:top w:val="none" w:sz="0" w:space="0" w:color="auto"/>
        <w:left w:val="none" w:sz="0" w:space="0" w:color="auto"/>
        <w:bottom w:val="none" w:sz="0" w:space="0" w:color="auto"/>
        <w:right w:val="none" w:sz="0" w:space="0" w:color="auto"/>
      </w:divBdr>
    </w:div>
    <w:div w:id="1451510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807</Words>
  <Characters>4603</Characters>
  <Application>Microsoft Office Word</Application>
  <DocSecurity>0</DocSecurity>
  <Lines>38</Lines>
  <Paragraphs>10</Paragraphs>
  <ScaleCrop>false</ScaleCrop>
  <Company>Registrite ja Infosüsteemide Keskus</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Konkurentsiamet</dc:creator>
  <cp:keywords>Blankett</cp:keywords>
  <cp:lastModifiedBy>Kaspar Selke</cp:lastModifiedBy>
  <cp:revision>26</cp:revision>
  <dcterms:created xsi:type="dcterms:W3CDTF">2019-11-01T05:46:00Z</dcterms:created>
  <dcterms:modified xsi:type="dcterms:W3CDTF">2024-07-26T11:28:00Z</dcterms:modified>
</cp:coreProperties>
</file>